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EDITAL PARTEC-UFC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Nº 0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/2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02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SELEÇÃO DE EMPREENDIMENTOS INOVADORES 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 PARA PARTICIPAREM DO PROGRAMA DE DESENVOLVIMENTO DE STARTUPS &amp; SPIN-OFFS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MODALIDADE INCUBAÇÃO RESIDENTE E NÃO-RESIDENTE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III - Valores da Cessão de Uso e Taxa de Condomínio - INCUBAÇÃO</w:t>
      </w:r>
    </w:p>
    <w:p w:rsidR="00000000" w:rsidDel="00000000" w:rsidP="00000000" w:rsidRDefault="00000000" w:rsidRPr="00000000" w14:paraId="0000000A">
      <w:pPr>
        <w:spacing w:after="240"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Para empreendimentos inovadores na modalidade de INCUBAÇÃO NÃO-RESIDENTE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o valor será fixo e mensal de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R$ 100,00 (cem reais)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devendo ser corrigido anualmente pelo INCC e previsto em contrato a ser assinado pelo(a) líder do empreendimento incubado, pelo Reitor da UFC, por diretores do Partec e pelo Presidente da Fundação ASTEF. Nessa modalidade, não será destinada sala para uso individual e exclusivo. Mediante solicitação e reserva, será disponibilizado acesso aos ambientes/espaços compartilhados, como coworkings, sala de reunião e auditório, situados no Condomínio de Empreendedorismo e Inovação (CEI), bloco 334 do campus do Pici da UFC, Fortaleza - CE. A seguir, são especificadas as quantidades máximas de utilização, em horário comercial, dos ambientes/espaços compartilhados.</w:t>
      </w:r>
      <w:r w:rsidDel="00000000" w:rsidR="00000000" w:rsidRPr="00000000">
        <w:rPr>
          <w:rtl w:val="0"/>
        </w:rPr>
      </w:r>
    </w:p>
    <w:tbl>
      <w:tblPr>
        <w:tblStyle w:val="Table1"/>
        <w:tblW w:w="549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1"/>
        <w:gridCol w:w="2670"/>
        <w:tblGridChange w:id="0">
          <w:tblGrid>
            <w:gridCol w:w="2821"/>
            <w:gridCol w:w="267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Ambiente/Espaço Compartilhado </w:t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(CEI UFC – Campus do Pici)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Utilização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Coworking(s)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vezes na semana </w:t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(até 5 membros)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Sala de reunião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vez ao mês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Auditório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vezes ao ano</w:t>
            </w:r>
          </w:p>
        </w:tc>
      </w:tr>
    </w:tbl>
    <w:p w:rsidR="00000000" w:rsidDel="00000000" w:rsidP="00000000" w:rsidRDefault="00000000" w:rsidRPr="00000000" w14:paraId="00000015">
      <w:pPr>
        <w:spacing w:after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Para empreendimentos inovadores na modalidade de INCUBAÇÃO RESIDENTE: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contrapartida financeira seguirá o quadro a seguir relacionado ao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valor de metro quadrado das salas para uso individual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exclusivo dos empreendimentos inovadores, devendo ser corrigido anualmente pelo INCC. Os detalhes estarão previstos em contrato a ser assinado pelo(a) líder do empreendimento incubado, pelo Reitor da UFC, por diretores do Partec e pelo Presidente da Fundação ASTEF. Os valores podem ser atualizados, de acordo com análise da Comissão Permanente de Avaliação de Bens Imóveis da UFC. Os valores para Itapajé e Sobral, áreas/ambientes recentemente transbordadas, foram estimados com base na menor e na maior avaliação, respectivamente, para campus da UFC do interior. Ressalta-se que, de forma a estimular o empreendedorismo inovador na Universidade, os valores cobrados pelo Partec são subsidiados quando comparado a valores de mercado. As salas específicas serão alocadas para cada empreendimento mediante disponibilidade e adequabilidade de área ao projeto de INCUBAÇÃO aprovado.</w:t>
      </w:r>
    </w:p>
    <w:p w:rsidR="00000000" w:rsidDel="00000000" w:rsidP="00000000" w:rsidRDefault="00000000" w:rsidRPr="00000000" w14:paraId="00000017">
      <w:pPr>
        <w:spacing w:after="240"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206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44"/>
        <w:gridCol w:w="3260"/>
        <w:gridCol w:w="3402"/>
        <w:tblGridChange w:id="0">
          <w:tblGrid>
            <w:gridCol w:w="3544"/>
            <w:gridCol w:w="3260"/>
            <w:gridCol w:w="3402"/>
          </w:tblGrid>
        </w:tblGridChange>
      </w:tblGrid>
      <w:tr>
        <w:trPr>
          <w:cantSplit w:val="0"/>
          <w:trHeight w:val="1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40" w:before="4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Ambientes/Áreas Transbordadas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40" w:before="4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Valores de Cessão de Uso definidos pela Comissão Permanente de Avaliação de Bens Imóveis da UFC por m²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40" w:before="4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(com base de mercado)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40" w:before="40" w:line="240" w:lineRule="auto"/>
              <w:ind w:left="212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Valores da Taxa de Condomínio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u w:val="single"/>
                <w:rtl w:val="0"/>
              </w:rPr>
              <w:t xml:space="preserve">a ser paga pela STARTUP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br w:type="textWrapping"/>
              <w:t xml:space="preserve">(50% do valor da Cessão de Uso)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Campi de Fortaleza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R$ 31,42/m²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ce5cd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60" w:before="60" w:line="240" w:lineRule="auto"/>
              <w:ind w:left="-7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R$ 15,71/m²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Campus de Quixadá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</w:t>
            </w:r>
            <w:r w:rsidDel="00000000" w:rsidR="00000000" w:rsidRPr="00000000">
              <w:rPr>
                <w:rtl w:val="0"/>
              </w:rPr>
              <w:t xml:space="preserve">34,25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/m²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ce5cd" w:val="clear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60" w:before="60" w:line="240" w:lineRule="auto"/>
              <w:ind w:left="-7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R$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17,12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/m²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Campus de Russas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</w:t>
            </w:r>
            <w:r w:rsidDel="00000000" w:rsidR="00000000" w:rsidRPr="00000000">
              <w:rPr>
                <w:rtl w:val="0"/>
              </w:rPr>
              <w:t xml:space="preserve">35,29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/m²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ce5cd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R$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17,64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/m²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Campus de Crateús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</w:t>
            </w:r>
            <w:r w:rsidDel="00000000" w:rsidR="00000000" w:rsidRPr="00000000">
              <w:rPr>
                <w:rtl w:val="0"/>
              </w:rPr>
              <w:t xml:space="preserve">26,35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/m²</w:t>
            </w:r>
          </w:p>
        </w:tc>
        <w:tc>
          <w:tcPr>
            <w:tcBorders>
              <w:right w:color="000000" w:space="0" w:sz="8" w:val="single"/>
            </w:tcBorders>
            <w:shd w:fill="fce5cd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R$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13,17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/m²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Campus de Itapajé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</w:t>
            </w:r>
            <w:r w:rsidDel="00000000" w:rsidR="00000000" w:rsidRPr="00000000">
              <w:rPr>
                <w:rtl w:val="0"/>
              </w:rPr>
              <w:t xml:space="preserve">24,36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/m²</w:t>
            </w:r>
          </w:p>
        </w:tc>
        <w:tc>
          <w:tcPr>
            <w:tcBorders>
              <w:right w:color="000000" w:space="0" w:sz="8" w:val="single"/>
            </w:tcBorders>
            <w:shd w:fill="fce5cd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R$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12,18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/m²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Campus de Sobral (Edifício da Cadeia Criativa </w:t>
            </w:r>
            <w:r w:rsidDel="00000000" w:rsidR="00000000" w:rsidRPr="00000000">
              <w:rPr>
                <w:rtl w:val="0"/>
              </w:rPr>
              <w:t xml:space="preserve">/ Centro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 </w:t>
            </w:r>
            <w:r w:rsidDel="00000000" w:rsidR="00000000" w:rsidRPr="00000000">
              <w:rPr>
                <w:rtl w:val="0"/>
              </w:rPr>
              <w:t xml:space="preserve">36,51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/m²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ce5cd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R$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18,25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/m²</w:t>
            </w:r>
          </w:p>
        </w:tc>
      </w:tr>
    </w:tbl>
    <w:p w:rsidR="00000000" w:rsidDel="00000000" w:rsidP="00000000" w:rsidRDefault="00000000" w:rsidRPr="00000000" w14:paraId="0000002E">
      <w:pPr>
        <w:spacing w:after="240" w:line="240" w:lineRule="auto"/>
        <w:jc w:val="both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 modalidade de INCUBAÇÃO RESIDENTE, além da sala individual de uso exclusivo dos membros do empreendimento inovador, será disponibilizado também, mediante solicitação e reserva, acesso aos ambientes/espaços compartilhados, como coworking, sala de reunião e auditório, situados no Condomínio de Empreendedorismo e Inovação (CEI), bloco 334 do campus do Pici da UFC, Fortaleza - CE. A seguir, são especificadas as quantidades máximas de utilização, em horário comercial, dos ambientes/espaços compartilhados.</w:t>
      </w:r>
    </w:p>
    <w:tbl>
      <w:tblPr>
        <w:tblStyle w:val="Table3"/>
        <w:tblW w:w="549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1"/>
        <w:gridCol w:w="2670"/>
        <w:tblGridChange w:id="0">
          <w:tblGrid>
            <w:gridCol w:w="2821"/>
            <w:gridCol w:w="267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Ambiente/Espaço Compartilhado </w:t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(CEI UFC – Campus do Pici)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Utilização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Coworking(s)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vezes na semana </w:t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(até 5 membros)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Sala de reunião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vezes ao mês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Auditório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vezes ao ano</w:t>
            </w:r>
          </w:p>
        </w:tc>
      </w:tr>
    </w:tbl>
    <w:p w:rsidR="00000000" w:rsidDel="00000000" w:rsidP="00000000" w:rsidRDefault="00000000" w:rsidRPr="00000000" w14:paraId="0000003A">
      <w:pPr>
        <w:spacing w:after="240" w:line="240" w:lineRule="auto"/>
        <w:jc w:val="both"/>
        <w:rPr>
          <w:rFonts w:ascii="Calibri" w:cs="Calibri" w:eastAsia="Calibri" w:hAnsi="Calibri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caso dos campi da UFC do interior, a utilização de eventuais ambientes compartilhados deverá ser pactuada com a diretoria de cada unidade, mediante disponibilidade.</w:t>
      </w:r>
    </w:p>
    <w:sectPr>
      <w:headerReference r:id="rId7" w:type="default"/>
      <w:pgSz w:h="16838" w:w="11906" w:orient="portrait"/>
      <w:pgMar w:bottom="1134" w:top="1701" w:left="85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-639760</wp:posOffset>
              </wp:positionH>
              <wp:positionV relativeFrom="paragraph">
                <wp:posOffset>-182559</wp:posOffset>
              </wp:positionV>
              <wp:extent cx="2513965" cy="1440180"/>
              <wp:effectExtent b="0" l="0" r="0" t="0"/>
              <wp:wrapNone/>
              <wp:docPr id="198610320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098543" y="3069435"/>
                        <a:ext cx="2494915" cy="1421130"/>
                      </a:xfrm>
                      <a:custGeom>
                        <a:rect b="b" l="l" r="r" t="t"/>
                        <a:pathLst>
                          <a:path extrusionOk="0" h="1421325" w="2495146">
                            <a:moveTo>
                              <a:pt x="0" y="0"/>
                            </a:moveTo>
                            <a:lnTo>
                              <a:pt x="2495145" y="0"/>
                            </a:lnTo>
                            <a:lnTo>
                              <a:pt x="2495145" y="1421325"/>
                            </a:lnTo>
                            <a:lnTo>
                              <a:pt x="0" y="142132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 rotWithShape="1">
                        <a:blip r:embed="rId1">
                          <a:alphaModFix/>
                        </a:blip>
                        <a:stretch>
                          <a:fillRect b="0" l="0" r="0" t="0"/>
                        </a:stretch>
                      </a:blip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-639760</wp:posOffset>
              </wp:positionH>
              <wp:positionV relativeFrom="paragraph">
                <wp:posOffset>-182559</wp:posOffset>
              </wp:positionV>
              <wp:extent cx="2513965" cy="1440180"/>
              <wp:effectExtent b="0" l="0" r="0" t="0"/>
              <wp:wrapNone/>
              <wp:docPr id="198610320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13965" cy="14401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-133348</wp:posOffset>
              </wp:positionH>
              <wp:positionV relativeFrom="paragraph">
                <wp:posOffset>952500</wp:posOffset>
              </wp:positionV>
              <wp:extent cx="0" cy="12700"/>
              <wp:effectExtent b="0" l="0" r="0" t="0"/>
              <wp:wrapNone/>
              <wp:docPr id="198610320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98000" y="378000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-133348</wp:posOffset>
              </wp:positionH>
              <wp:positionV relativeFrom="paragraph">
                <wp:posOffset>952500</wp:posOffset>
              </wp:positionV>
              <wp:extent cx="0" cy="12700"/>
              <wp:effectExtent b="0" l="0" r="0" t="0"/>
              <wp:wrapNone/>
              <wp:docPr id="198610320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2177627</wp:posOffset>
          </wp:positionH>
          <wp:positionV relativeFrom="paragraph">
            <wp:posOffset>124460</wp:posOffset>
          </wp:positionV>
          <wp:extent cx="2235200" cy="774700"/>
          <wp:effectExtent b="0" l="0" r="0" t="0"/>
          <wp:wrapNone/>
          <wp:docPr descr="Uma imagem contendo Logotipo&#10;&#10;Descrição gerada automaticamente" id="1986103209" name="image2.png"/>
          <a:graphic>
            <a:graphicData uri="http://schemas.openxmlformats.org/drawingml/2006/picture">
              <pic:pic>
                <pic:nvPicPr>
                  <pic:cNvPr descr="Uma imagem contendo Logotipo&#10;&#10;Descrição gerada automaticamente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5200" cy="774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5258647</wp:posOffset>
          </wp:positionH>
          <wp:positionV relativeFrom="paragraph">
            <wp:posOffset>127000</wp:posOffset>
          </wp:positionV>
          <wp:extent cx="1202267" cy="747150"/>
          <wp:effectExtent b="0" l="0" r="0" t="0"/>
          <wp:wrapNone/>
          <wp:docPr descr="Fundação de Apoio a Serviços Técnicos, Ensino e Fomento a Pesquisas" id="1986103210" name="image1.png"/>
          <a:graphic>
            <a:graphicData uri="http://schemas.openxmlformats.org/drawingml/2006/picture">
              <pic:pic>
                <pic:nvPicPr>
                  <pic:cNvPr descr="Fundação de Apoio a Serviços Técnicos, Ensino e Fomento a Pesquisas"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2267" cy="7471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5A44E4"/>
  </w:style>
  <w:style w:type="table" w:styleId="TableNormal2" w:customStyle="1">
    <w:name w:val="Table Normal"/>
    <w:rsid w:val="005A44E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2"/>
    <w:rsid w:val="00131142"/>
  </w:style>
  <w:style w:type="table" w:styleId="TableNormal3" w:customStyle="1">
    <w:name w:val="Table Normal"/>
    <w:rsid w:val="00131142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11" w:customStyle="1">
    <w:name w:val="Título 11"/>
    <w:basedOn w:val="LO-normal"/>
    <w:next w:val="LO-normal"/>
    <w:qFormat w:val="1"/>
    <w:rsid w:val="00502044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1" w:customStyle="1">
    <w:name w:val="Título 21"/>
    <w:basedOn w:val="LO-normal"/>
    <w:next w:val="LO-normal"/>
    <w:qFormat w:val="1"/>
    <w:rsid w:val="00502044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1" w:customStyle="1">
    <w:name w:val="Título 31"/>
    <w:basedOn w:val="LO-normal"/>
    <w:next w:val="LO-normal"/>
    <w:qFormat w:val="1"/>
    <w:rsid w:val="00502044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1" w:customStyle="1">
    <w:name w:val="Título 41"/>
    <w:basedOn w:val="LO-normal"/>
    <w:next w:val="LO-normal"/>
    <w:qFormat w:val="1"/>
    <w:rsid w:val="00502044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1" w:customStyle="1">
    <w:name w:val="Título 51"/>
    <w:basedOn w:val="LO-normal"/>
    <w:next w:val="LO-normal"/>
    <w:qFormat w:val="1"/>
    <w:rsid w:val="00502044"/>
    <w:pPr>
      <w:keepNext w:val="1"/>
      <w:keepLines w:val="1"/>
      <w:spacing w:after="40" w:before="220"/>
      <w:outlineLvl w:val="4"/>
    </w:pPr>
    <w:rPr>
      <w:b w:val="1"/>
    </w:rPr>
  </w:style>
  <w:style w:type="paragraph" w:styleId="Ttulo61" w:customStyle="1">
    <w:name w:val="Título 61"/>
    <w:basedOn w:val="LO-normal"/>
    <w:next w:val="LO-normal"/>
    <w:qFormat w:val="1"/>
    <w:rsid w:val="00502044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LinkdaInternet" w:customStyle="1">
    <w:name w:val="Link da Internet"/>
    <w:basedOn w:val="Fontepargpadro"/>
    <w:uiPriority w:val="99"/>
    <w:semiHidden w:val="1"/>
    <w:unhideWhenUsed w:val="1"/>
    <w:rsid w:val="00CB5708"/>
    <w:rPr>
      <w:color w:val="0000ff"/>
      <w:u w:val="single"/>
    </w:rPr>
  </w:style>
  <w:style w:type="character" w:styleId="Smbolosdenumerao" w:customStyle="1">
    <w:name w:val="Símbolos de numeração"/>
    <w:qFormat w:val="1"/>
    <w:rsid w:val="00131142"/>
  </w:style>
  <w:style w:type="paragraph" w:styleId="Corpodetexto">
    <w:name w:val="Body Text"/>
    <w:basedOn w:val="Normal"/>
    <w:rsid w:val="00131142"/>
    <w:pPr>
      <w:spacing w:after="140"/>
    </w:pPr>
  </w:style>
  <w:style w:type="paragraph" w:styleId="Lista">
    <w:name w:val="List"/>
    <w:basedOn w:val="Corpodetexto"/>
    <w:rsid w:val="00131142"/>
    <w:rPr>
      <w:rFonts w:cs="Lohit Devanagari"/>
    </w:rPr>
  </w:style>
  <w:style w:type="paragraph" w:styleId="Legenda1" w:customStyle="1">
    <w:name w:val="Legenda1"/>
    <w:basedOn w:val="Normal"/>
    <w:qFormat w:val="1"/>
    <w:rsid w:val="00131142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131142"/>
    <w:pPr>
      <w:suppressLineNumbers w:val="1"/>
    </w:pPr>
    <w:rPr>
      <w:rFonts w:cs="Lohit Devanagari"/>
    </w:rPr>
  </w:style>
  <w:style w:type="paragraph" w:styleId="LO-normal" w:customStyle="1">
    <w:name w:val="LO-normal"/>
    <w:qFormat w:val="1"/>
    <w:rsid w:val="00502044"/>
  </w:style>
  <w:style w:type="paragraph" w:styleId="NormalWeb">
    <w:name w:val="Normal (Web)"/>
    <w:basedOn w:val="Normal"/>
    <w:uiPriority w:val="99"/>
    <w:unhideWhenUsed w:val="1"/>
    <w:qFormat w:val="1"/>
    <w:rsid w:val="00CB5708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qFormat w:val="1"/>
    <w:rsid w:val="0038454D"/>
    <w:pPr>
      <w:spacing w:after="0" w:line="240" w:lineRule="auto"/>
    </w:pPr>
    <w:rPr>
      <w:color w:val="000000"/>
      <w:sz w:val="24"/>
      <w:szCs w:val="24"/>
    </w:rPr>
  </w:style>
  <w:style w:type="paragraph" w:styleId="Contedodatabela" w:customStyle="1">
    <w:name w:val="Conteúdo da tabela"/>
    <w:basedOn w:val="Normal"/>
    <w:qFormat w:val="1"/>
    <w:rsid w:val="00131142"/>
    <w:pPr>
      <w:suppressLineNumbers w:val="1"/>
    </w:pPr>
  </w:style>
  <w:style w:type="paragraph" w:styleId="Ttulodetabela" w:customStyle="1">
    <w:name w:val="Título de tabela"/>
    <w:basedOn w:val="Contedodatabela"/>
    <w:qFormat w:val="1"/>
    <w:rsid w:val="00131142"/>
    <w:pPr>
      <w:jc w:val="center"/>
    </w:pPr>
    <w:rPr>
      <w:b w:val="1"/>
      <w:bCs w:val="1"/>
    </w:rPr>
  </w:style>
  <w:style w:type="table" w:styleId="TableNormal4" w:customStyle="1">
    <w:name w:val="Table Normal"/>
    <w:rsid w:val="0050204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4"/>
    <w:rsid w:val="0013114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4"/>
    <w:rsid w:val="0013114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4"/>
    <w:rsid w:val="0013114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4"/>
    <w:rsid w:val="0013114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4"/>
    <w:rsid w:val="0013114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4"/>
    <w:rsid w:val="0013114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4"/>
    <w:rsid w:val="0013114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4"/>
    <w:rsid w:val="0013114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4"/>
    <w:rsid w:val="0013114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4"/>
    <w:rsid w:val="0013114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4"/>
    <w:rsid w:val="0013114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4"/>
    <w:rsid w:val="0013114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4"/>
    <w:rsid w:val="0013114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4"/>
    <w:rsid w:val="0013114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4"/>
    <w:rsid w:val="0013114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3"/>
    <w:rsid w:val="005A44E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3"/>
    <w:rsid w:val="005A44E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3"/>
    <w:rsid w:val="005A44E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3"/>
    <w:rsid w:val="005A44E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3"/>
    <w:rsid w:val="005A44E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3"/>
    <w:rsid w:val="005A44E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3"/>
    <w:rsid w:val="005A44E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3"/>
    <w:rsid w:val="005A44E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3"/>
    <w:rsid w:val="005A44E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3"/>
    <w:rsid w:val="005A44E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3"/>
    <w:rsid w:val="005A44E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3"/>
    <w:rsid w:val="005A44E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3"/>
    <w:rsid w:val="005A44E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3"/>
    <w:rsid w:val="005A44E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3"/>
    <w:rsid w:val="005A44E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7D071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D071F"/>
  </w:style>
  <w:style w:type="paragraph" w:styleId="Rodap">
    <w:name w:val="footer"/>
    <w:basedOn w:val="Normal"/>
    <w:link w:val="RodapChar"/>
    <w:uiPriority w:val="99"/>
    <w:unhideWhenUsed w:val="1"/>
    <w:rsid w:val="007D071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D071F"/>
  </w:style>
  <w:style w:type="paragraph" w:styleId="PargrafodaLista">
    <w:name w:val="List Paragraph"/>
    <w:basedOn w:val="Normal"/>
    <w:uiPriority w:val="34"/>
    <w:qFormat w:val="1"/>
    <w:rsid w:val="00851A16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A3701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A3701C"/>
    <w:rPr>
      <w:color w:val="605e5c"/>
      <w:shd w:color="auto" w:fill="e1dfdd" w:val="clear"/>
    </w:rPr>
  </w:style>
  <w:style w:type="table" w:styleId="Tabelacomgrade">
    <w:name w:val="Table Grid"/>
    <w:basedOn w:val="Tabelanormal"/>
    <w:uiPriority w:val="39"/>
    <w:rsid w:val="000D0D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fase">
    <w:name w:val="Emphasis"/>
    <w:basedOn w:val="Fontepargpadro"/>
    <w:uiPriority w:val="20"/>
    <w:qFormat w:val="1"/>
    <w:rsid w:val="003D2C2E"/>
    <w:rPr>
      <w:i w:val="1"/>
      <w:iCs w:val="1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982864"/>
    <w:rPr>
      <w:color w:val="800080" w:themeColor="followedHyperlink"/>
      <w:u w:val="singl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1PibI/QwSjwuIMSNB+UXfAEUvw==">CgMxLjAyCWlkLmdqZGd4czgAciExVkc1RDBUOG5FanBsSWdGbzNnRlNjNE12cnNrMFB4Y1U=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2024-07-25T19:50:00Z</dcterms:created>
  <dc:creator>Fernando Nunes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